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791"/>
        <w:gridCol w:w="255"/>
        <w:gridCol w:w="10"/>
        <w:gridCol w:w="726"/>
        <w:gridCol w:w="567"/>
        <w:gridCol w:w="139"/>
        <w:gridCol w:w="712"/>
        <w:gridCol w:w="619"/>
      </w:tblGrid>
      <w:tr w:rsidR="00060BDB" w:rsidRPr="00AB4376" w:rsidTr="00555137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AB437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60BDB" w:rsidRPr="00AB4376" w:rsidRDefault="00060BDB" w:rsidP="0055513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8"/>
                <w:szCs w:val="28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Strateški menadžment ljudskih resursa </w:t>
            </w:r>
          </w:p>
        </w:tc>
      </w:tr>
      <w:tr w:rsidR="00060BDB" w:rsidRPr="00AB4376" w:rsidTr="00555137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594689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594689">
              <w:rPr>
                <w:rFonts w:ascii="Arial" w:eastAsia="Batang" w:hAnsi="Arial" w:cs="Arial"/>
                <w:sz w:val="20"/>
              </w:rPr>
              <w:t>EUA302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60BDB" w:rsidRPr="00AB4376" w:rsidTr="00555137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AB4376">
              <w:rPr>
                <w:rFonts w:ascii="Arial" w:hAnsi="Arial" w:cs="Arial"/>
                <w:sz w:val="20"/>
              </w:rPr>
              <w:t>Prof.dr.sc. Srećko Goić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60BDB" w:rsidRPr="00AB4376" w:rsidTr="00555137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AB4376">
              <w:rPr>
                <w:rFonts w:ascii="Arial" w:hAnsi="Arial" w:cs="Arial"/>
                <w:sz w:val="20"/>
              </w:rPr>
              <w:t>Izv. prof. dr.sc. Danica Bakotić</w:t>
            </w:r>
          </w:p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0BDB" w:rsidRPr="00AB4376" w:rsidRDefault="00060BDB" w:rsidP="005551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0BDB" w:rsidRPr="00AB4376" w:rsidRDefault="00060BDB" w:rsidP="005551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0BDB" w:rsidRPr="00AB4376" w:rsidRDefault="00060BDB" w:rsidP="005551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60BDB" w:rsidRPr="00AB4376" w:rsidTr="00555137">
        <w:trPr>
          <w:trHeight w:val="345"/>
        </w:trPr>
        <w:tc>
          <w:tcPr>
            <w:tcW w:w="19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0BDB" w:rsidRPr="00AB4376" w:rsidRDefault="00060BDB" w:rsidP="005551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0BDB" w:rsidRPr="00AB4376" w:rsidRDefault="00547EBE" w:rsidP="005551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0BDB" w:rsidRPr="00AB4376" w:rsidRDefault="00060BDB" w:rsidP="005551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BDB" w:rsidRPr="00AB4376" w:rsidTr="00555137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060BDB" w:rsidRPr="00AB4376" w:rsidTr="00555137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60BDB" w:rsidRPr="00AB4376" w:rsidTr="00555137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AB4376" w:rsidRDefault="00060BDB" w:rsidP="0055513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Primarni cilj ovog predmeta je upoznati studente (</w:t>
            </w:r>
            <w:r w:rsidRPr="00060BDB">
              <w:rPr>
                <w:rFonts w:ascii="Arial" w:hAnsi="Arial" w:cs="Arial"/>
                <w:sz w:val="20"/>
                <w:szCs w:val="20"/>
              </w:rPr>
              <w:t>diplomskog studija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060BDB">
              <w:rPr>
                <w:rFonts w:ascii="Arial" w:hAnsi="Arial" w:cs="Arial"/>
                <w:sz w:val="20"/>
                <w:szCs w:val="20"/>
              </w:rPr>
              <w:t xml:space="preserve">sa </w:t>
            </w:r>
            <w:r w:rsidRPr="00060BDB">
              <w:rPr>
                <w:rFonts w:ascii="Arial" w:hAnsi="Arial" w:cs="Arial"/>
                <w:b/>
                <w:bCs/>
                <w:sz w:val="20"/>
                <w:szCs w:val="20"/>
              </w:rPr>
              <w:t>strate</w:t>
            </w:r>
            <w:r w:rsidRPr="00AB4376">
              <w:rPr>
                <w:rFonts w:ascii="Arial" w:hAnsi="Arial" w:cs="Arial"/>
                <w:b/>
                <w:bCs/>
                <w:sz w:val="20"/>
                <w:szCs w:val="20"/>
              </w:rPr>
              <w:t>š</w:t>
            </w:r>
            <w:r w:rsidRPr="00060BDB">
              <w:rPr>
                <w:rFonts w:ascii="Arial" w:hAnsi="Arial" w:cs="Arial"/>
                <w:b/>
                <w:bCs/>
                <w:sz w:val="20"/>
                <w:szCs w:val="20"/>
              </w:rPr>
              <w:t>kim zna</w:t>
            </w:r>
            <w:r w:rsidRPr="00AB4376">
              <w:rPr>
                <w:rFonts w:ascii="Arial" w:hAnsi="Arial" w:cs="Arial"/>
                <w:b/>
                <w:bCs/>
                <w:sz w:val="20"/>
                <w:szCs w:val="20"/>
              </w:rPr>
              <w:t>č</w:t>
            </w:r>
            <w:r w:rsidRPr="00060BDB">
              <w:rPr>
                <w:rFonts w:ascii="Arial" w:hAnsi="Arial" w:cs="Arial"/>
                <w:b/>
                <w:bCs/>
                <w:sz w:val="20"/>
                <w:szCs w:val="20"/>
              </w:rPr>
              <w:t>enjem i pristupom</w:t>
            </w:r>
            <w:r w:rsidRPr="00060BDB">
              <w:rPr>
                <w:rFonts w:ascii="Arial" w:hAnsi="Arial" w:cs="Arial"/>
                <w:sz w:val="20"/>
                <w:szCs w:val="20"/>
              </w:rPr>
              <w:t xml:space="preserve"> u upravljanju ljudskim resursima u sklopu upravljanja poduze</w:t>
            </w:r>
            <w:r w:rsidRPr="00AB4376">
              <w:rPr>
                <w:rFonts w:ascii="Arial" w:hAnsi="Arial" w:cs="Arial"/>
                <w:sz w:val="20"/>
                <w:szCs w:val="20"/>
              </w:rPr>
              <w:t>ć</w:t>
            </w:r>
            <w:r w:rsidRPr="00060BDB">
              <w:rPr>
                <w:rFonts w:ascii="Arial" w:hAnsi="Arial" w:cs="Arial"/>
                <w:sz w:val="20"/>
                <w:szCs w:val="20"/>
              </w:rPr>
              <w:t>em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. Operativni cilj je osposobiti </w:t>
            </w:r>
            <w:r w:rsidRPr="00060BDB">
              <w:rPr>
                <w:rFonts w:ascii="Arial" w:hAnsi="Arial" w:cs="Arial"/>
                <w:sz w:val="20"/>
                <w:szCs w:val="20"/>
              </w:rPr>
              <w:t>studente za samostalno sagledavanje i osmi</w:t>
            </w:r>
            <w:r w:rsidRPr="00AB4376">
              <w:rPr>
                <w:rFonts w:ascii="Arial" w:hAnsi="Arial" w:cs="Arial"/>
                <w:sz w:val="20"/>
                <w:szCs w:val="20"/>
              </w:rPr>
              <w:t>š</w:t>
            </w:r>
            <w:r w:rsidRPr="00060BDB">
              <w:rPr>
                <w:rFonts w:ascii="Arial" w:hAnsi="Arial" w:cs="Arial"/>
                <w:sz w:val="20"/>
                <w:szCs w:val="20"/>
              </w:rPr>
              <w:t>ljavanje strate</w:t>
            </w:r>
            <w:r w:rsidRPr="00AB4376">
              <w:rPr>
                <w:rFonts w:ascii="Arial" w:hAnsi="Arial" w:cs="Arial"/>
                <w:sz w:val="20"/>
                <w:szCs w:val="20"/>
              </w:rPr>
              <w:t>š</w:t>
            </w:r>
            <w:r w:rsidRPr="00060BDB">
              <w:rPr>
                <w:rFonts w:ascii="Arial" w:hAnsi="Arial" w:cs="Arial"/>
                <w:sz w:val="20"/>
                <w:szCs w:val="20"/>
              </w:rPr>
              <w:t>kih komponenti upravljanja ljudskim resursima u poduze</w:t>
            </w:r>
            <w:r w:rsidRPr="00AB4376">
              <w:rPr>
                <w:rFonts w:ascii="Arial" w:hAnsi="Arial" w:cs="Arial"/>
                <w:sz w:val="20"/>
                <w:szCs w:val="20"/>
              </w:rPr>
              <w:t>ć</w:t>
            </w:r>
            <w:r w:rsidRPr="00060BDB">
              <w:rPr>
                <w:rFonts w:ascii="Arial" w:hAnsi="Arial" w:cs="Arial"/>
                <w:sz w:val="20"/>
                <w:szCs w:val="20"/>
              </w:rPr>
              <w:t>ima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 xml:space="preserve">.  </w:t>
            </w:r>
          </w:p>
        </w:tc>
      </w:tr>
      <w:tr w:rsidR="00060BDB" w:rsidRPr="00AB4376" w:rsidTr="00555137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AB4376" w:rsidRDefault="00060BDB" w:rsidP="0055513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Predmet se nastavlja i naslanja na materiju predmeta ‘Menadžment ljudskih resursa’, za koji se pretpostavlja da su ga studenti savladali tijekom svog preddiplomskog studija. Dobro poznavanje osnova menadžmenta i osnovnih postavki strateškog menadžmenta praktički je uvjet razumijevanja materije ovog predmeta.</w:t>
            </w:r>
          </w:p>
        </w:tc>
      </w:tr>
      <w:tr w:rsidR="00060BDB" w:rsidRPr="00AB4376" w:rsidTr="00555137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060BDB" w:rsidRPr="00AB4376" w:rsidRDefault="00060BDB" w:rsidP="00555137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Strateški sagledavati i usmjeravati upravljanje ljudskim resursima, te kvalitetno oblikovati cjelovite strategije upravljanja ljudskim resursima u poduzećima. /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7 razina</w:t>
            </w:r>
            <w:r w:rsidRPr="00AB4376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060BDB" w:rsidRPr="00AB4376" w:rsidRDefault="00060BDB" w:rsidP="00060BD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Analizirati karakteristike poslovnog i općeg okruženja kao podlogu za postavljanje planova poslovanja poduzeća. /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7 razina</w:t>
            </w:r>
            <w:r w:rsidRPr="00AB4376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60BDB" w:rsidRPr="00AB4376" w:rsidRDefault="00060BDB" w:rsidP="00060BD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Koncipirati osnovne elemente strategije upravljanja ljudskim resursima kao dijela poslovne strategije poduzeća. /7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AB4376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60BDB" w:rsidRPr="00AB4376" w:rsidRDefault="00060BDB" w:rsidP="00060BD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Sudjelovati u procesu pripreme i razrade strateških odluka u domeni upravljanja ljudskim resursima u cjelini i u pojedinim njegovim segmentima. /7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AB4376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60BDB" w:rsidRPr="00AB4376" w:rsidRDefault="0093473F" w:rsidP="00060BD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oristiti 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t>fikasno i svrsishodno suvremene metode i tehnike u analizi i dizajniranju strateških odluka u domeni upravljanja ljudskim resursima. /</w:t>
            </w:r>
            <w:r w:rsidR="00060BDB" w:rsidRPr="00AB4376">
              <w:rPr>
                <w:rFonts w:ascii="Arial" w:hAnsi="Arial" w:cs="Arial"/>
                <w:i/>
                <w:sz w:val="20"/>
                <w:szCs w:val="20"/>
              </w:rPr>
              <w:t>7 razina</w:t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60BDB" w:rsidRPr="00AB4376" w:rsidRDefault="00060BDB" w:rsidP="00060BD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Razvijati i razrađivati taktičke i operativne planove upravljanja ljudskim resursima poduzeća. /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AB4376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60BDB" w:rsidRPr="00AB4376" w:rsidRDefault="00060BDB" w:rsidP="00060BDB">
            <w:pPr>
              <w:numPr>
                <w:ilvl w:val="0"/>
                <w:numId w:val="3"/>
              </w:num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Analizirati i koncipirati strateške odluka u domeni upravljanja ljudskim resursima u multikulturalnim uvjetima i multinacionalnim kompanijama. /7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AB4376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060BDB" w:rsidRPr="00AB4376" w:rsidTr="00555137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896"/>
              <w:gridCol w:w="425"/>
              <w:gridCol w:w="2693"/>
              <w:gridCol w:w="409"/>
            </w:tblGrid>
            <w:tr w:rsidR="00060BDB" w:rsidRPr="00AB4376" w:rsidTr="00555137">
              <w:trPr>
                <w:trHeight w:val="234"/>
              </w:trPr>
              <w:tc>
                <w:tcPr>
                  <w:tcW w:w="4321" w:type="dxa"/>
                  <w:gridSpan w:val="2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102" w:type="dxa"/>
                  <w:gridSpan w:val="2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Vježbe</w:t>
                  </w:r>
                </w:p>
              </w:tc>
            </w:tr>
            <w:tr w:rsidR="00060BDB" w:rsidRPr="00AB4376" w:rsidTr="00555137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Sati </w:t>
                  </w:r>
                </w:p>
              </w:tc>
              <w:tc>
                <w:tcPr>
                  <w:tcW w:w="2693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Sati </w:t>
                  </w:r>
                </w:p>
              </w:tc>
            </w:tr>
            <w:tr w:rsidR="00060BDB" w:rsidRPr="00AB4376" w:rsidTr="00555137">
              <w:trPr>
                <w:trHeight w:val="688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>UVOD: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Pojam i sadržaj strateškog menadžmenta ljudskih resursa.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 xml:space="preserve">Razvoj koncepta i discipline menadžmenta ljudskih resursa. 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</w:rPr>
                    <w:t>Vježba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: Upoznavanje s načinom rada na vježbama; HRM - ponavljanje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0BDB" w:rsidRPr="00AB4376" w:rsidTr="00555137">
              <w:trPr>
                <w:trHeight w:val="414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Mjesto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uloga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menad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ž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menta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ljudskih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resursa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poduze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ć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Menad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ž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ment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ljudskih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resursa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i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okru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ž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enje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</w:rPr>
                    <w:t>Vježba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: HRM i okruženje.</w:t>
                  </w:r>
                </w:p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0BDB" w:rsidRPr="00AB4376" w:rsidTr="00555137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t>STRATE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>Š</w:t>
                  </w: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t>KI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t>PRISTUP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t>UPRAVLJANJU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t>LJUDSKIM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t>RESURSIMA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Strategija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poduze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ć</w:t>
                  </w:r>
                  <w:r w:rsidRPr="00060BD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a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strategija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ljudskih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resursa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</w:rPr>
                    <w:t>Vježba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: Predaja i prezentacija zadatka 1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0BDB" w:rsidRPr="00AB4376" w:rsidTr="00555137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Zna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č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ajke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strategijskog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menadžmenta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ljudskih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resursa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. </w:t>
                  </w:r>
                  <w:r w:rsidRPr="00060BD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Utjecaj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poslovnih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strategija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na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menadžment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ljudskih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resursa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AB4376" w:rsidRDefault="00060BDB" w:rsidP="0055513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</w:rPr>
                    <w:t>Vježba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: SWOT analiza – na primjeru uvođenja e-obrazovanja</w:t>
                  </w:r>
                </w:p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Pripreme za SWOT analizu u nekom izabranom poduzeću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0BDB" w:rsidRPr="00AB4376" w:rsidTr="00555137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Metode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strategijske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analize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ljudskih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resursa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. 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Model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strategijskog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menadžmenta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ljudskih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resursa</w:t>
                  </w:r>
                  <w:r w:rsidRPr="00AB437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</w:rPr>
                    <w:t>Vježba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:  SWOT analiza ljudskih resursa i upravljanja ljudskim resursima na primjeru izabranog poduzeća – Zadatak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2 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2</w:t>
                  </w:r>
                </w:p>
              </w:tc>
            </w:tr>
            <w:tr w:rsidR="00060BDB" w:rsidRPr="00AB4376" w:rsidTr="00555137">
              <w:trPr>
                <w:trHeight w:val="26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lastRenderedPageBreak/>
                    <w:t>STRATE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>Š</w:t>
                  </w: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t>KI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t>PRISTUP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t>OSNOVNIM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t>FUNKCIJAMA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t>MENAD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>Ž</w:t>
                  </w: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t>MENTA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t>LJUDSKIH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b/>
                      <w:sz w:val="18"/>
                      <w:szCs w:val="18"/>
                    </w:rPr>
                    <w:t>RESURSA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: </w:t>
                  </w:r>
                  <w:r w:rsidRPr="00060BDB">
                    <w:rPr>
                      <w:rFonts w:ascii="Arial" w:hAnsi="Arial" w:cs="Arial"/>
                      <w:sz w:val="18"/>
                      <w:szCs w:val="18"/>
                    </w:rPr>
                    <w:t>Utvr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đ</w:t>
                  </w:r>
                  <w:r w:rsidRPr="00060BDB">
                    <w:rPr>
                      <w:rFonts w:ascii="Arial" w:hAnsi="Arial" w:cs="Arial"/>
                      <w:sz w:val="18"/>
                      <w:szCs w:val="18"/>
                    </w:rPr>
                    <w:t>ivanje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sz w:val="18"/>
                      <w:szCs w:val="18"/>
                    </w:rPr>
                    <w:t>potreba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sz w:val="18"/>
                      <w:szCs w:val="18"/>
                    </w:rPr>
                    <w:t>i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sz w:val="18"/>
                      <w:szCs w:val="18"/>
                    </w:rPr>
                    <w:t>osiguranje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sz w:val="18"/>
                      <w:szCs w:val="18"/>
                    </w:rPr>
                    <w:t>potrebnih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60BDB">
                    <w:rPr>
                      <w:rFonts w:ascii="Arial" w:hAnsi="Arial" w:cs="Arial"/>
                      <w:sz w:val="18"/>
                      <w:szCs w:val="18"/>
                    </w:rPr>
                    <w:t>kadrova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</w:rPr>
                    <w:t>Referati studenata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: Tema – utvrđivanje potreba i osiguranje potrebnih kadrova 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0BDB" w:rsidRPr="00AB4376" w:rsidTr="00555137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Razvijanje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efikasnosti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ljudskih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resursa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</w:rPr>
                    <w:t>Referati studenata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: Tema – obuka, obrazovanje i razvoj karijere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0BDB" w:rsidRPr="00AB4376" w:rsidTr="00555137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Upravljanje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kompenzacijama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</w:rPr>
                    <w:t>Referati studenata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: Tema –  kompenzacije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0BDB" w:rsidRPr="00AB4376" w:rsidTr="00555137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Odnosi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zaposlenih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poslodavaca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</w:rPr>
                    <w:t>Referati studenata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: Tema –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odnosi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zaposlenih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poslodavaca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0BDB" w:rsidRPr="00AB4376" w:rsidTr="00555137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Za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š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tita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unapre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đ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enje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uvjeta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rada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ž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ivota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zaposlenih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</w:rPr>
                    <w:t>Referati studenata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: Tema –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za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š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tita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unapre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đ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enje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uvjeta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rada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ž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ivota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zaposlenih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0BDB" w:rsidRPr="00AB4376" w:rsidTr="00555137">
              <w:trPr>
                <w:trHeight w:val="26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EKONOMIKA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I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ORGANIZACIJA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UPRAVLJANJA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LJUDSKIM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RESURSIMA</w:t>
                  </w: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AB4376" w:rsidRDefault="00060BDB" w:rsidP="00555137">
                  <w:pPr>
                    <w:tabs>
                      <w:tab w:val="left" w:pos="162"/>
                    </w:tabs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Case study  1.-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0BDB" w:rsidRPr="00AB4376" w:rsidTr="00555137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</w:rPr>
                    <w:t>MEĐUNARODNI ASPEKTI UPRAVLJANJA LJUDSKIM RESURSIMA: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Međunarodna mobilnost ljudskih resursa, 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AB4376" w:rsidRDefault="00060BDB" w:rsidP="00555137">
                  <w:pPr>
                    <w:tabs>
                      <w:tab w:val="left" w:pos="162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Case study 2.-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0BDB" w:rsidRPr="00AB4376" w:rsidTr="00555137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Funkcija ljudskih resursa u multinacionalnim korporacijama. Menadžeri u multinacionalnim korporacijama.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</w:rPr>
                    <w:t>Vježba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: Upravljanje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ljudskih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resursima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u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multinacionalnim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korporacijama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(</w:t>
                  </w: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  <w:lang w:val="es-ES"/>
                    </w:rPr>
                    <w:t>gost</w:t>
                  </w: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  <w:lang w:val="es-ES"/>
                    </w:rPr>
                    <w:t>iz</w:t>
                  </w: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i/>
                      <w:sz w:val="18"/>
                      <w:szCs w:val="18"/>
                      <w:lang w:val="es-ES"/>
                    </w:rPr>
                    <w:t>prakse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0BDB" w:rsidRPr="00AB4376" w:rsidTr="00555137">
              <w:trPr>
                <w:trHeight w:val="515"/>
              </w:trPr>
              <w:tc>
                <w:tcPr>
                  <w:tcW w:w="3896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de-DE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Ponavljanje i utvrđivanje gradiva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:rsidR="00060BDB" w:rsidRPr="00AB4376" w:rsidRDefault="00060BDB" w:rsidP="0055513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Završna diskusija.: ŠTA SMO NAUČILI?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AB4376" w:rsidRDefault="00060BDB" w:rsidP="0055513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060BDB" w:rsidRPr="00AB4376" w:rsidRDefault="00060BDB" w:rsidP="005551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BDB" w:rsidRPr="00AB4376" w:rsidTr="00555137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060BDB" w:rsidRPr="00AB4376" w:rsidRDefault="00060BDB" w:rsidP="005551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060BDB" w:rsidRPr="00AB4376" w:rsidRDefault="00060BDB" w:rsidP="005551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D0C"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23D0C" w:rsidRPr="00AB4376">
              <w:rPr>
                <w:rFonts w:ascii="Arial" w:hAnsi="Arial" w:cs="Arial"/>
                <w:sz w:val="20"/>
                <w:szCs w:val="20"/>
              </w:rPr>
            </w:r>
            <w:r w:rsidR="00B23D0C"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23D0C"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60BDB" w:rsidRPr="00AB4376" w:rsidTr="00555137">
        <w:trPr>
          <w:trHeight w:val="57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60BDB" w:rsidRPr="00AB4376" w:rsidTr="00555137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9347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18"/>
                <w:szCs w:val="18"/>
              </w:rPr>
              <w:t xml:space="preserve">Da bi ostvario pravo na potpis redovni student mora aktivno sudjelovati u najmanje 50% </w:t>
            </w:r>
            <w:r w:rsidR="0093473F">
              <w:rPr>
                <w:rFonts w:ascii="Arial" w:hAnsi="Arial" w:cs="Arial"/>
                <w:sz w:val="18"/>
                <w:szCs w:val="18"/>
              </w:rPr>
              <w:t>predavanja, te najmanje</w:t>
            </w:r>
            <w:r w:rsidRPr="00AB4376">
              <w:rPr>
                <w:rFonts w:ascii="Arial" w:hAnsi="Arial" w:cs="Arial"/>
                <w:sz w:val="18"/>
                <w:szCs w:val="18"/>
              </w:rPr>
              <w:t xml:space="preserve"> 70% vježbi.</w:t>
            </w:r>
          </w:p>
        </w:tc>
      </w:tr>
      <w:tr w:rsidR="00060BDB" w:rsidRPr="00AB4376" w:rsidTr="004C2413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79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B23D0C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97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B23D0C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60BDB" w:rsidRPr="00AB4376" w:rsidTr="004C2413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060B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60BDB" w:rsidRPr="00AB4376" w:rsidRDefault="00B23D0C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697" w:type="dxa"/>
            <w:gridSpan w:val="5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Zadaci  iz vježbi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060BDB" w:rsidRPr="00AB4376" w:rsidTr="004C2413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060B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60BDB" w:rsidRPr="00AB4376" w:rsidRDefault="00B23D0C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060BDB" w:rsidRPr="00AB4376" w:rsidRDefault="00B23D0C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97" w:type="dxa"/>
            <w:gridSpan w:val="5"/>
            <w:tcMar>
              <w:left w:w="57" w:type="dxa"/>
              <w:right w:w="57" w:type="dxa"/>
            </w:tcMar>
            <w:vAlign w:val="center"/>
          </w:tcPr>
          <w:p w:rsidR="00060BDB" w:rsidRPr="00AB4376" w:rsidRDefault="00B23D0C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60BD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B23D0C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60BDB" w:rsidRPr="00AB4376" w:rsidTr="004C2413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060B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060BDB" w:rsidRPr="00AB4376" w:rsidRDefault="00B23D0C" w:rsidP="005551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7" w:type="dxa"/>
            <w:gridSpan w:val="5"/>
            <w:tcMar>
              <w:left w:w="57" w:type="dxa"/>
              <w:right w:w="57" w:type="dxa"/>
            </w:tcMar>
            <w:vAlign w:val="center"/>
          </w:tcPr>
          <w:p w:rsidR="00060BDB" w:rsidRPr="00AB4376" w:rsidRDefault="00B23D0C" w:rsidP="005551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B23D0C" w:rsidP="005551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BDB" w:rsidRPr="00AB4376" w:rsidTr="004C2413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060B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B23D0C" w:rsidP="005551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79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B23D0C" w:rsidP="005551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7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B23D0C" w:rsidP="005551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AB4376" w:rsidRDefault="00B23D0C" w:rsidP="005551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BDB" w:rsidRPr="00AB4376" w:rsidTr="00555137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AB4376" w:rsidRDefault="00060BDB" w:rsidP="00555137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Tokom semestra održat će se dva kolokvija</w:t>
            </w:r>
            <w:r w:rsidR="0093473F">
              <w:rPr>
                <w:rFonts w:ascii="Arial" w:hAnsi="Arial" w:cs="Arial"/>
                <w:sz w:val="20"/>
                <w:szCs w:val="20"/>
              </w:rPr>
              <w:t xml:space="preserve"> (teorijski dio gradiva)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, koji će donositi maksimalno po 50 bodova. Praktični dio gradiva provjeravat će se kroz dva zadatka, koji će studentima donositi svaki po maksimalno 20 bodova, te izradom referata </w:t>
            </w:r>
            <w:r w:rsidRPr="00AB437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ili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kritičkog prikaza jedne knjige (što će donositi 40 bodova). Temeljem redovitog prisustvovanja i aktivnog sudjelovanja u nastavi studenti mogu ostvariti do 20 bodova.</w:t>
            </w:r>
          </w:p>
          <w:p w:rsidR="00060BDB" w:rsidRDefault="00060BDB" w:rsidP="0055513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Student koji kroz rad tokom nastave prikupi najmanje </w:t>
            </w:r>
            <w:r w:rsidR="00434580">
              <w:rPr>
                <w:rFonts w:ascii="Arial" w:hAnsi="Arial" w:cs="Arial"/>
                <w:sz w:val="20"/>
                <w:szCs w:val="20"/>
              </w:rPr>
              <w:t>12</w:t>
            </w:r>
            <w:r w:rsidRPr="00AB4376">
              <w:rPr>
                <w:rFonts w:ascii="Arial" w:hAnsi="Arial" w:cs="Arial"/>
                <w:sz w:val="20"/>
                <w:szCs w:val="20"/>
              </w:rPr>
              <w:t>0 bodova, s tim da je izradio najmanje 3 zadatka (</w:t>
            </w:r>
            <w:r w:rsidRPr="00AB4376">
              <w:rPr>
                <w:rFonts w:ascii="Arial" w:hAnsi="Arial" w:cs="Arial"/>
                <w:i/>
                <w:iCs/>
                <w:sz w:val="20"/>
                <w:szCs w:val="20"/>
              </w:rPr>
              <w:t>i iz vježbi ostvario najmanje 60 bodova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) i iz </w:t>
            </w:r>
            <w:r w:rsidRPr="00AB4376">
              <w:rPr>
                <w:rFonts w:ascii="Arial" w:hAnsi="Arial" w:cs="Arial"/>
                <w:iCs/>
                <w:sz w:val="20"/>
                <w:szCs w:val="20"/>
              </w:rPr>
              <w:t>kolokvija ostvario ukupno najmanje 60 bodova</w:t>
            </w:r>
            <w:r w:rsidRPr="00AB437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sz w:val="20"/>
                <w:szCs w:val="20"/>
              </w:rPr>
              <w:t>(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i pritom iz svakog kolokvija dobio najmanje 25 bodova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), smatra se da je položio ispit, te će mu biti ponuđena odgovarajuća ocjena.  </w:t>
            </w:r>
          </w:p>
          <w:p w:rsidR="0093473F" w:rsidRPr="0093473F" w:rsidRDefault="0093473F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93473F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Bodovna ljestvica i odgovarajuće ocjene ostvarene u predroku su sljedeće: </w:t>
            </w:r>
          </w:p>
          <w:p w:rsidR="0093473F" w:rsidRPr="0093473F" w:rsidRDefault="00434580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12</w:t>
            </w:r>
            <w:r w:rsidR="0093473F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0 </w:t>
            </w:r>
            <w:r w:rsidR="0093473F" w:rsidRPr="0093473F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-1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35</w:t>
            </w:r>
            <w:r w:rsidR="0093473F" w:rsidRPr="0093473F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dovoljan (2)</w:t>
            </w:r>
          </w:p>
          <w:p w:rsidR="0093473F" w:rsidRPr="0093473F" w:rsidRDefault="0093473F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</w:t>
            </w:r>
            <w:r w:rsidR="00434580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36 -149</w:t>
            </w:r>
            <w:r w:rsidRPr="0093473F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dobar (3)</w:t>
            </w:r>
          </w:p>
          <w:p w:rsidR="0093473F" w:rsidRPr="0093473F" w:rsidRDefault="0093473F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93473F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</w:t>
            </w:r>
            <w:r w:rsidR="00434580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50 </w:t>
            </w:r>
            <w:r w:rsidRPr="0093473F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-16</w:t>
            </w:r>
            <w:r w:rsidR="00434580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5</w:t>
            </w:r>
            <w:r w:rsidRPr="0093473F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vrlo dobar (4)</w:t>
            </w:r>
          </w:p>
          <w:p w:rsidR="0093473F" w:rsidRPr="0093473F" w:rsidRDefault="0093473F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93473F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lastRenderedPageBreak/>
              <w:t>16</w:t>
            </w:r>
            <w:r w:rsidR="00434580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6 </w:t>
            </w:r>
            <w:r w:rsidRPr="0093473F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-</w:t>
            </w:r>
            <w:r w:rsidR="00434580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93473F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200 izvrstan (5)</w:t>
            </w:r>
          </w:p>
          <w:p w:rsidR="0093473F" w:rsidRPr="00AB4376" w:rsidRDefault="0093473F" w:rsidP="0055513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060BDB" w:rsidRPr="00AB4376" w:rsidRDefault="00060BDB" w:rsidP="0055513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Student je kao uvjet za pristup ispitu dužan proučiti najmanje jednu od knjiga iz popisa dodatne literature, ili neku drugu knjigu u dogovoru s predmetnim nastavnikom. Kao dokaz tome može poslužiti napisani referat ili kritički prikaz knjige, ili će se to provjeriti na samom ispitu.</w:t>
            </w:r>
          </w:p>
          <w:p w:rsidR="00060BDB" w:rsidRDefault="00060BDB" w:rsidP="0055513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708A2" w:rsidRPr="004228E0" w:rsidRDefault="00A708A2" w:rsidP="004228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4228E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*Ukoliko student tijekom nastave ne prikupi 120 bodova (odnosno ne zadovolji neki od ostalih traženih uvjeta za polaganje ispita u predroku), tada pristupa pismenom ispitu koji se sastoji o teorijskog dijela (maksimalno 50 bodova) i praktičnog dijela, odnosno dva zadatka (maksimalno </w:t>
            </w:r>
            <w:r w:rsidR="004228E0" w:rsidRPr="004228E0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4228E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 bodova). </w:t>
            </w:r>
            <w:r w:rsidRPr="004228E0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Za polaganje ispita, student treba ostvariti najmanje 25 bodova i</w:t>
            </w:r>
            <w:r w:rsidR="004228E0" w:rsidRPr="004228E0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z teorijskog dijela i najmanje 13</w:t>
            </w:r>
            <w:r w:rsidRPr="004228E0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bodova iz praktičnog dijela, te</w:t>
            </w:r>
            <w:r w:rsidR="004228E0" w:rsidRPr="004228E0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ukupno najmanje 40</w:t>
            </w:r>
            <w:r w:rsidRPr="004228E0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bodova. </w:t>
            </w:r>
          </w:p>
          <w:p w:rsidR="00060BDB" w:rsidRPr="00AB4376" w:rsidRDefault="004228E0" w:rsidP="004228E0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4228E0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Ostvareni broj bodova se množi ponderom 2 za bodove iz teorijskog dijela i ponderom 4 za bodove iz praktičnog dijela, te se ocjena formira prema gornjoj ljestvici.</w:t>
            </w:r>
          </w:p>
        </w:tc>
      </w:tr>
      <w:tr w:rsidR="00060BDB" w:rsidRPr="00AB4376" w:rsidTr="00555137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60BDB" w:rsidRPr="00AB4376" w:rsidTr="00555137">
        <w:trPr>
          <w:trHeight w:val="75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060BD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0BDB" w:rsidRPr="00060BDB" w:rsidRDefault="00060BDB" w:rsidP="00555137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Bahtijarević-Šiber, F.: </w:t>
            </w:r>
            <w:r w:rsidRPr="00AB4376">
              <w:rPr>
                <w:rFonts w:ascii="Arial" w:hAnsi="Arial" w:cs="Arial"/>
                <w:i/>
                <w:iCs/>
                <w:sz w:val="20"/>
                <w:szCs w:val="20"/>
              </w:rPr>
              <w:t>Management ljudskih potencijala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, Golden Marketing, Zagreb, 1999. </w:t>
            </w:r>
            <w:r w:rsidRPr="00AB437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0BDB" w:rsidRPr="00AB4376" w:rsidRDefault="00B23D0C" w:rsidP="005551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AB4376" w:rsidRDefault="00B23D0C" w:rsidP="005551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BDB" w:rsidRPr="00AB4376" w:rsidTr="00555137">
        <w:trPr>
          <w:trHeight w:val="75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060BD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0BDB" w:rsidRPr="00AB4376" w:rsidRDefault="00060BDB" w:rsidP="005551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Walton, J, </w:t>
            </w:r>
            <w:r w:rsidRPr="00AB4376">
              <w:rPr>
                <w:rFonts w:ascii="Arial" w:hAnsi="Arial" w:cs="Arial"/>
                <w:i/>
                <w:iCs/>
                <w:sz w:val="20"/>
                <w:szCs w:val="20"/>
              </w:rPr>
              <w:t>Strategic Human Resource Development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, Prentice Hall, London, 1999. </w:t>
            </w: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0BDB" w:rsidRPr="00AB4376" w:rsidRDefault="00B23D0C" w:rsidP="005551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AB4376" w:rsidRDefault="00B23D0C" w:rsidP="005551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BDB" w:rsidRPr="00AB4376" w:rsidTr="00555137">
        <w:trPr>
          <w:trHeight w:val="230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060BD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:rsidR="00060BDB" w:rsidRPr="00AB4376" w:rsidRDefault="00060BDB" w:rsidP="00A708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Web stranice: Strateški menadžment ljudskih resursa, by Srećko Goić:  </w:t>
            </w:r>
            <w:r w:rsidRPr="00AB4376">
              <w:rPr>
                <w:rFonts w:ascii="Arial" w:hAnsi="Arial" w:cs="Arial"/>
                <w:sz w:val="18"/>
                <w:szCs w:val="18"/>
              </w:rPr>
              <w:t>(</w:t>
            </w:r>
            <w:hyperlink r:id="rId5" w:history="1">
              <w:r w:rsidR="00A708A2" w:rsidRPr="00871D6C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https://moodle.efst.hr</w:t>
              </w:r>
            </w:hyperlink>
            <w:r w:rsidRPr="00AB437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03" w:type="dxa"/>
            <w:gridSpan w:val="3"/>
          </w:tcPr>
          <w:p w:rsidR="00060BDB" w:rsidRPr="00AB4376" w:rsidRDefault="00060BDB" w:rsidP="005551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</w:tcPr>
          <w:p w:rsidR="00060BDB" w:rsidRPr="00AB4376" w:rsidRDefault="00060BDB" w:rsidP="005551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060BDB" w:rsidRPr="00AB4376" w:rsidTr="00555137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060BDB" w:rsidRPr="00AB4376" w:rsidRDefault="00060BDB" w:rsidP="0055513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3A86" w:rsidRPr="0093473F" w:rsidRDefault="004228E0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3473F">
              <w:rPr>
                <w:rFonts w:ascii="Arial" w:hAnsi="Arial" w:cs="Arial"/>
                <w:sz w:val="18"/>
                <w:szCs w:val="18"/>
              </w:rPr>
              <w:t xml:space="preserve">Bahtijarević-Šiber, F.: </w:t>
            </w:r>
            <w:r w:rsidRPr="0093473F">
              <w:rPr>
                <w:rFonts w:ascii="Arial" w:hAnsi="Arial" w:cs="Arial"/>
                <w:i/>
                <w:iCs/>
                <w:sz w:val="18"/>
                <w:szCs w:val="18"/>
              </w:rPr>
              <w:t>Strateški management ljudskih potencijala</w:t>
            </w:r>
            <w:r w:rsidRPr="0093473F">
              <w:rPr>
                <w:rFonts w:ascii="Arial" w:hAnsi="Arial" w:cs="Arial"/>
                <w:sz w:val="18"/>
                <w:szCs w:val="18"/>
              </w:rPr>
              <w:t>, Školska knjiga, Zagreb, 2014.</w:t>
            </w:r>
          </w:p>
          <w:p w:rsidR="00060BDB" w:rsidRPr="00AB4376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B4376">
              <w:rPr>
                <w:rFonts w:ascii="Arial" w:hAnsi="Arial" w:cs="Arial"/>
                <w:sz w:val="18"/>
                <w:szCs w:val="18"/>
              </w:rPr>
              <w:t xml:space="preserve">Boxall, P.; Purcell, J.: </w:t>
            </w:r>
            <w:r w:rsidRPr="00AB4376">
              <w:rPr>
                <w:rFonts w:ascii="Arial" w:hAnsi="Arial" w:cs="Arial"/>
                <w:i/>
                <w:iCs/>
                <w:sz w:val="18"/>
                <w:szCs w:val="18"/>
              </w:rPr>
              <w:t>Strategy and Human Resource Management</w:t>
            </w:r>
            <w:r w:rsidRPr="00AB4376">
              <w:rPr>
                <w:rFonts w:ascii="Arial" w:hAnsi="Arial" w:cs="Arial"/>
                <w:sz w:val="18"/>
                <w:szCs w:val="18"/>
              </w:rPr>
              <w:t>, Palgrave, New York, 2008.</w:t>
            </w:r>
          </w:p>
          <w:p w:rsidR="00060BDB" w:rsidRPr="00434580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34580">
              <w:rPr>
                <w:rFonts w:ascii="Arial" w:hAnsi="Arial" w:cs="Arial"/>
                <w:sz w:val="18"/>
                <w:szCs w:val="18"/>
              </w:rPr>
              <w:t xml:space="preserve">Buble, M. (ur.): </w:t>
            </w:r>
            <w:r w:rsidRPr="00434580">
              <w:rPr>
                <w:rFonts w:ascii="Arial" w:hAnsi="Arial" w:cs="Arial"/>
                <w:i/>
                <w:iCs/>
                <w:sz w:val="18"/>
                <w:szCs w:val="18"/>
              </w:rPr>
              <w:t>Strategijski management</w:t>
            </w:r>
            <w:r w:rsidRPr="00434580">
              <w:rPr>
                <w:rFonts w:ascii="Arial" w:hAnsi="Arial" w:cs="Arial"/>
                <w:sz w:val="18"/>
                <w:szCs w:val="18"/>
              </w:rPr>
              <w:t>, Ekonomski fakultet Split, Split, 1997.</w:t>
            </w:r>
          </w:p>
          <w:p w:rsidR="00434580" w:rsidRDefault="00434580" w:rsidP="00434580">
            <w:pPr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Cs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sz w:val="18"/>
                <w:szCs w:val="18"/>
              </w:rPr>
              <w:t>Goic, S</w:t>
            </w:r>
            <w:r w:rsidRPr="00434580">
              <w:rPr>
                <w:rFonts w:ascii="Arial" w:hAnsi="Arial" w:cs="Arial"/>
                <w:sz w:val="18"/>
                <w:szCs w:val="18"/>
              </w:rPr>
              <w:t>.;</w:t>
            </w:r>
            <w:r w:rsidRPr="00434580">
              <w:rPr>
                <w:rFonts w:ascii="Arial" w:hAnsi="Arial" w:cs="Arial"/>
                <w:sz w:val="18"/>
                <w:szCs w:val="18"/>
                <w:lang w:val="en-US"/>
              </w:rPr>
              <w:t xml:space="preserve"> Jones, D.:  </w:t>
            </w:r>
            <w:r w:rsidRPr="00434580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Do innovative workplace practices foster mutual gains? Evidence from Croatia</w:t>
            </w:r>
            <w:r w:rsidRPr="00434580">
              <w:rPr>
                <w:rFonts w:ascii="Arial" w:hAnsi="Arial" w:cs="Arial"/>
                <w:bCs/>
                <w:iCs/>
                <w:sz w:val="18"/>
                <w:szCs w:val="18"/>
                <w:lang w:eastAsia="hr-HR"/>
              </w:rPr>
              <w:t xml:space="preserve">, </w:t>
            </w:r>
            <w:r w:rsidRPr="00434580">
              <w:rPr>
                <w:rFonts w:ascii="Arial" w:hAnsi="Arial" w:cs="Arial"/>
                <w:sz w:val="18"/>
                <w:szCs w:val="18"/>
              </w:rPr>
              <w:t xml:space="preserve">in T. Kato (ed.): </w:t>
            </w:r>
            <w:r w:rsidRPr="00434580">
              <w:rPr>
                <w:rStyle w:val="Emphasis"/>
                <w:rFonts w:ascii="Arial" w:hAnsi="Arial" w:cs="Arial"/>
                <w:b/>
                <w:sz w:val="18"/>
                <w:szCs w:val="18"/>
              </w:rPr>
              <w:t>Advances in the Economic Analysis of Participatory &amp; Labor-Managed Firms</w:t>
            </w:r>
            <w:r w:rsidRPr="00434580">
              <w:rPr>
                <w:rStyle w:val="Emphasis"/>
                <w:rFonts w:ascii="Arial" w:hAnsi="Arial" w:cs="Arial"/>
                <w:sz w:val="18"/>
                <w:szCs w:val="18"/>
              </w:rPr>
              <w:t xml:space="preserve">, Volume 11, </w:t>
            </w:r>
            <w:r w:rsidRPr="00434580">
              <w:rPr>
                <w:rFonts w:ascii="Arial" w:hAnsi="Arial" w:cs="Arial"/>
                <w:sz w:val="18"/>
                <w:szCs w:val="18"/>
              </w:rPr>
              <w:t xml:space="preserve">Emerald Group Publishing Limited, </w:t>
            </w:r>
            <w:r w:rsidRPr="00434580">
              <w:rPr>
                <w:rFonts w:ascii="Arial" w:hAnsi="Arial" w:cs="Arial"/>
                <w:iCs/>
                <w:sz w:val="18"/>
                <w:szCs w:val="18"/>
                <w:lang w:eastAsia="hr-HR"/>
              </w:rPr>
              <w:t>2010, pp. 23 – 68.</w:t>
            </w:r>
          </w:p>
          <w:p w:rsidR="00434580" w:rsidRPr="00434580" w:rsidRDefault="00434580" w:rsidP="00434580">
            <w:pPr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Goic, S.:</w:t>
            </w:r>
            <w:r w:rsidRPr="00434580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</w:t>
            </w:r>
            <w:hyperlink r:id="rId6" w:tgtFrame="_blank" w:history="1">
              <w:r w:rsidRPr="00434580">
                <w:rPr>
                  <w:rStyle w:val="Hyperlink"/>
                  <w:rFonts w:ascii="Arial" w:hAnsi="Arial" w:cs="Arial"/>
                  <w:bCs/>
                  <w:i/>
                  <w:color w:val="000000"/>
                  <w:sz w:val="18"/>
                  <w:szCs w:val="18"/>
                </w:rPr>
                <w:t>Employee Financial Participation in Croatian Enterprises: A Recent Study</w:t>
              </w:r>
            </w:hyperlink>
            <w:r w:rsidRPr="00434580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434580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</w:rPr>
              <w:t>Global Business &amp; Economics Anthology</w:t>
            </w:r>
            <w:r w:rsidRPr="00434580"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  <w:r w:rsidRPr="0043458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3458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II</w:t>
            </w:r>
            <w:r w:rsidRPr="00434580">
              <w:rPr>
                <w:rFonts w:ascii="Arial" w:hAnsi="Arial" w:cs="Arial"/>
                <w:color w:val="000000"/>
                <w:sz w:val="18"/>
                <w:szCs w:val="18"/>
              </w:rPr>
              <w:t>, 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434580">
              <w:rPr>
                <w:rFonts w:ascii="Arial" w:hAnsi="Arial" w:cs="Arial"/>
                <w:color w:val="000000"/>
                <w:sz w:val="18"/>
                <w:szCs w:val="18"/>
              </w:rPr>
              <w:t>2011; pp. 244</w:t>
            </w:r>
            <w:r w:rsidRPr="004345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Pr="00434580">
              <w:rPr>
                <w:rFonts w:ascii="Arial" w:hAnsi="Arial" w:cs="Arial"/>
                <w:color w:val="000000"/>
                <w:sz w:val="18"/>
                <w:szCs w:val="18"/>
              </w:rPr>
              <w:t>254.</w:t>
            </w:r>
          </w:p>
          <w:p w:rsidR="00060BDB" w:rsidRPr="00434580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34580">
              <w:rPr>
                <w:rFonts w:ascii="Arial" w:hAnsi="Arial" w:cs="Arial"/>
                <w:sz w:val="18"/>
                <w:szCs w:val="18"/>
              </w:rPr>
              <w:t xml:space="preserve">Gratton, L. (et al.): </w:t>
            </w:r>
            <w:r w:rsidRPr="00434580">
              <w:rPr>
                <w:rFonts w:ascii="Arial" w:hAnsi="Arial" w:cs="Arial"/>
                <w:i/>
                <w:iCs/>
                <w:sz w:val="18"/>
                <w:szCs w:val="18"/>
              </w:rPr>
              <w:t>Strategic human resource management : corporate rhetoric and human reality</w:t>
            </w:r>
            <w:r w:rsidRPr="00434580">
              <w:rPr>
                <w:rFonts w:ascii="Arial" w:hAnsi="Arial" w:cs="Arial"/>
                <w:sz w:val="18"/>
                <w:szCs w:val="18"/>
              </w:rPr>
              <w:t>, Oxford University Press, Oxford, 1999.</w:t>
            </w:r>
          </w:p>
          <w:p w:rsidR="00060BDB" w:rsidRPr="00AB4376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B4376">
              <w:rPr>
                <w:rFonts w:ascii="Arial" w:hAnsi="Arial" w:cs="Arial"/>
                <w:sz w:val="18"/>
                <w:szCs w:val="18"/>
              </w:rPr>
              <w:t xml:space="preserve">Marušić, S.: </w:t>
            </w:r>
            <w:r w:rsidRPr="00AB4376">
              <w:rPr>
                <w:rFonts w:ascii="Arial" w:hAnsi="Arial" w:cs="Arial"/>
                <w:i/>
                <w:iCs/>
                <w:sz w:val="18"/>
                <w:szCs w:val="18"/>
              </w:rPr>
              <w:t>Upravljanje ljudskim potencijalima</w:t>
            </w:r>
            <w:r w:rsidRPr="00AB4376">
              <w:rPr>
                <w:rFonts w:ascii="Arial" w:hAnsi="Arial" w:cs="Arial"/>
                <w:sz w:val="18"/>
                <w:szCs w:val="18"/>
              </w:rPr>
              <w:t>, ADECO - Ekonomski institut, Zagreb, 2001.</w:t>
            </w:r>
          </w:p>
          <w:p w:rsidR="00060BDB" w:rsidRPr="00AB4376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B4376">
              <w:rPr>
                <w:rFonts w:ascii="Arial" w:hAnsi="Arial" w:cs="Arial"/>
                <w:sz w:val="18"/>
                <w:szCs w:val="18"/>
              </w:rPr>
              <w:t xml:space="preserve">Noe, R.A.; Hollenbeck, J.R.; Gerhart, B.; Wright, P.M.: </w:t>
            </w:r>
            <w:r w:rsidRPr="00AB4376">
              <w:rPr>
                <w:rFonts w:ascii="Arial" w:hAnsi="Arial" w:cs="Arial"/>
                <w:i/>
                <w:iCs/>
                <w:sz w:val="18"/>
                <w:szCs w:val="18"/>
              </w:rPr>
              <w:t>Menadžment Ljudskih potencijala</w:t>
            </w:r>
            <w:r w:rsidRPr="00AB4376">
              <w:rPr>
                <w:rFonts w:ascii="Arial" w:hAnsi="Arial" w:cs="Arial"/>
                <w:sz w:val="18"/>
                <w:szCs w:val="18"/>
              </w:rPr>
              <w:t xml:space="preserve">, Mate, Zagreb, 2006. </w:t>
            </w:r>
          </w:p>
          <w:p w:rsidR="00060BDB" w:rsidRPr="00AB4376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B4376">
              <w:rPr>
                <w:rFonts w:ascii="Arial" w:hAnsi="Arial" w:cs="Arial"/>
                <w:sz w:val="18"/>
                <w:szCs w:val="18"/>
              </w:rPr>
              <w:t xml:space="preserve">Stacey, Ralph D.: </w:t>
            </w:r>
            <w:r w:rsidRPr="00AB4376">
              <w:rPr>
                <w:rFonts w:ascii="Arial" w:hAnsi="Arial" w:cs="Arial"/>
                <w:i/>
                <w:iCs/>
                <w:sz w:val="18"/>
                <w:szCs w:val="18"/>
              </w:rPr>
              <w:t>Strateški menadžment i organizacija dinamika</w:t>
            </w:r>
            <w:r w:rsidRPr="00AB4376">
              <w:rPr>
                <w:rFonts w:ascii="Arial" w:hAnsi="Arial" w:cs="Arial"/>
                <w:sz w:val="18"/>
                <w:szCs w:val="18"/>
              </w:rPr>
              <w:t xml:space="preserve">, Mate, Zagreb, 1997. </w:t>
            </w:r>
          </w:p>
        </w:tc>
      </w:tr>
      <w:tr w:rsidR="00060BDB" w:rsidRPr="00AB4376" w:rsidTr="00555137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AB4376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060BDB" w:rsidRPr="00AB4376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060BDB" w:rsidRPr="00AB4376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060BDB" w:rsidRPr="00AB4376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060BDB" w:rsidRPr="00AB4376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60BDB" w:rsidRPr="00AB4376" w:rsidTr="00555137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AB4376" w:rsidRDefault="00060BDB" w:rsidP="0055513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AB4376" w:rsidRDefault="00B23D0C" w:rsidP="005551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D1708" w:rsidRDefault="006D1708"/>
    <w:sectPr w:rsidR="006D1708" w:rsidSect="00B157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3825"/>
    <w:multiLevelType w:val="hybridMultilevel"/>
    <w:tmpl w:val="4748EF7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43901D45"/>
    <w:multiLevelType w:val="hybridMultilevel"/>
    <w:tmpl w:val="2012C6CA"/>
    <w:lvl w:ilvl="0" w:tplc="B6F21A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7A92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740A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78F8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A435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C02E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8CA8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EED6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6C69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060BDB"/>
    <w:rsid w:val="00060BDB"/>
    <w:rsid w:val="002E0EA6"/>
    <w:rsid w:val="00383A86"/>
    <w:rsid w:val="004228E0"/>
    <w:rsid w:val="00434580"/>
    <w:rsid w:val="004C2413"/>
    <w:rsid w:val="00547EBE"/>
    <w:rsid w:val="006A24A3"/>
    <w:rsid w:val="006D1708"/>
    <w:rsid w:val="0093473F"/>
    <w:rsid w:val="00A708A2"/>
    <w:rsid w:val="00B157C5"/>
    <w:rsid w:val="00B23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BD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060BD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060BDB"/>
    <w:rPr>
      <w:rFonts w:cs="Times New Roman"/>
      <w:b/>
      <w:bCs/>
    </w:rPr>
  </w:style>
  <w:style w:type="character" w:styleId="Hyperlink">
    <w:name w:val="Hyperlink"/>
    <w:basedOn w:val="DefaultParagraphFont"/>
    <w:unhideWhenUsed/>
    <w:rsid w:val="00060BD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345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BD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060BD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060BDB"/>
    <w:rPr>
      <w:rFonts w:cs="Times New Roman"/>
      <w:b/>
      <w:bCs/>
    </w:rPr>
  </w:style>
  <w:style w:type="character" w:styleId="Hyperlink">
    <w:name w:val="Hyperlink"/>
    <w:basedOn w:val="DefaultParagraphFont"/>
    <w:unhideWhenUsed/>
    <w:rsid w:val="00060BD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345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4854">
          <w:marLeft w:val="6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.irb.hr/prikazi-rad?&amp;rad=552789" TargetMode="External"/><Relationship Id="rId5" Type="http://schemas.openxmlformats.org/officeDocument/2006/relationships/hyperlink" Target="https://moodle.efst.hr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1438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sumic</cp:lastModifiedBy>
  <cp:revision>3</cp:revision>
  <cp:lastPrinted>2018-06-11T09:05:00Z</cp:lastPrinted>
  <dcterms:created xsi:type="dcterms:W3CDTF">2018-06-11T09:06:00Z</dcterms:created>
  <dcterms:modified xsi:type="dcterms:W3CDTF">2018-07-04T08:17:00Z</dcterms:modified>
</cp:coreProperties>
</file>